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B3" w:rsidRPr="009A3EB3" w:rsidRDefault="009A3EB3" w:rsidP="006B33BA">
      <w:pPr>
        <w:widowControl/>
        <w:shd w:val="clear" w:color="auto" w:fill="FFFFFF"/>
        <w:wordWrap w:val="0"/>
        <w:jc w:val="center"/>
        <w:outlineLvl w:val="0"/>
        <w:rPr>
          <w:rFonts w:ascii="微软雅黑" w:eastAsia="微软雅黑" w:hAnsi="微软雅黑" w:cs="宋体" w:hint="eastAsia"/>
          <w:color w:val="333333"/>
          <w:kern w:val="0"/>
          <w:sz w:val="24"/>
          <w:szCs w:val="24"/>
        </w:rPr>
      </w:pPr>
      <w:r w:rsidRPr="009A3EB3">
        <w:rPr>
          <w:rFonts w:ascii="微软雅黑" w:eastAsia="微软雅黑" w:hAnsi="微软雅黑" w:cs="宋体" w:hint="eastAsia"/>
          <w:color w:val="333333"/>
          <w:kern w:val="36"/>
          <w:sz w:val="24"/>
          <w:szCs w:val="24"/>
        </w:rPr>
        <w:t>国家税务总局</w:t>
      </w:r>
    </w:p>
    <w:tbl>
      <w:tblPr>
        <w:tblW w:w="5000" w:type="pct"/>
        <w:tblCellSpacing w:w="15" w:type="dxa"/>
        <w:tblCellMar>
          <w:top w:w="15" w:type="dxa"/>
          <w:left w:w="15" w:type="dxa"/>
          <w:bottom w:w="15" w:type="dxa"/>
          <w:right w:w="15" w:type="dxa"/>
        </w:tblCellMar>
        <w:tblLook w:val="04A0"/>
      </w:tblPr>
      <w:tblGrid>
        <w:gridCol w:w="8366"/>
      </w:tblGrid>
      <w:tr w:rsidR="009A3EB3" w:rsidRPr="009A3EB3" w:rsidTr="009A3EB3">
        <w:trPr>
          <w:tblCellSpacing w:w="15" w:type="dxa"/>
        </w:trPr>
        <w:tc>
          <w:tcPr>
            <w:tcW w:w="0" w:type="auto"/>
            <w:shd w:val="clear" w:color="auto" w:fill="auto"/>
            <w:tcMar>
              <w:top w:w="0" w:type="dxa"/>
              <w:left w:w="0" w:type="dxa"/>
              <w:bottom w:w="0" w:type="dxa"/>
              <w:right w:w="0" w:type="dxa"/>
            </w:tcMar>
            <w:vAlign w:val="center"/>
            <w:hideMark/>
          </w:tcPr>
          <w:p w:rsidR="006B33BA" w:rsidRPr="006B33BA" w:rsidRDefault="009A3EB3" w:rsidP="006B33BA">
            <w:pPr>
              <w:widowControl/>
              <w:wordWrap w:val="0"/>
              <w:spacing w:after="225"/>
              <w:rPr>
                <w:rFonts w:ascii="微软雅黑" w:eastAsia="微软雅黑" w:hAnsi="微软雅黑" w:cs="宋体" w:hint="eastAsia"/>
                <w:color w:val="333333"/>
                <w:kern w:val="36"/>
                <w:sz w:val="28"/>
                <w:szCs w:val="28"/>
              </w:rPr>
            </w:pPr>
            <w:r w:rsidRPr="009A3EB3">
              <w:rPr>
                <w:rFonts w:ascii="微软雅黑" w:eastAsia="微软雅黑" w:hAnsi="微软雅黑" w:cs="宋体" w:hint="eastAsia"/>
                <w:color w:val="333333"/>
                <w:kern w:val="36"/>
                <w:sz w:val="28"/>
                <w:szCs w:val="28"/>
              </w:rPr>
              <w:t>关于实施小型微利企业普惠性所得税减免政策有关问题的公告</w:t>
            </w:r>
          </w:p>
          <w:p w:rsidR="009A3EB3" w:rsidRPr="009A3EB3" w:rsidRDefault="006B33BA" w:rsidP="006B33BA">
            <w:pPr>
              <w:widowControl/>
              <w:wordWrap w:val="0"/>
              <w:spacing w:after="225"/>
              <w:rPr>
                <w:rFonts w:ascii="微软雅黑" w:eastAsia="微软雅黑" w:hAnsi="微软雅黑" w:cs="宋体" w:hint="eastAsia"/>
                <w:kern w:val="0"/>
                <w:sz w:val="23"/>
                <w:szCs w:val="23"/>
              </w:rPr>
            </w:pPr>
            <w:r w:rsidRPr="006B33BA">
              <w:rPr>
                <w:rFonts w:ascii="微软雅黑" w:eastAsia="微软雅黑" w:hAnsi="微软雅黑" w:cs="宋体" w:hint="eastAsia"/>
                <w:color w:val="333333"/>
                <w:kern w:val="36"/>
                <w:sz w:val="24"/>
                <w:szCs w:val="24"/>
              </w:rPr>
              <w:t>（</w:t>
            </w:r>
            <w:r w:rsidRPr="009A3EB3">
              <w:rPr>
                <w:rFonts w:ascii="微软雅黑" w:eastAsia="微软雅黑" w:hAnsi="微软雅黑" w:cs="宋体" w:hint="eastAsia"/>
                <w:color w:val="333333"/>
                <w:kern w:val="36"/>
                <w:sz w:val="24"/>
                <w:szCs w:val="24"/>
              </w:rPr>
              <w:t>国家税务总局公告2019年第2号</w:t>
            </w:r>
            <w:r w:rsidRPr="006B33BA">
              <w:rPr>
                <w:rFonts w:ascii="微软雅黑" w:eastAsia="微软雅黑" w:hAnsi="微软雅黑" w:cs="宋体" w:hint="eastAsia"/>
                <w:color w:val="333333"/>
                <w:kern w:val="36"/>
                <w:sz w:val="24"/>
                <w:szCs w:val="24"/>
              </w:rPr>
              <w:t>）</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根据《</w:t>
            </w:r>
            <w:hyperlink r:id="rId6" w:history="1">
              <w:r w:rsidRPr="009A3EB3">
                <w:rPr>
                  <w:rFonts w:ascii="微软雅黑" w:eastAsia="微软雅黑" w:hAnsi="微软雅黑" w:cs="宋体" w:hint="eastAsia"/>
                  <w:color w:val="FF0000"/>
                  <w:kern w:val="0"/>
                  <w:sz w:val="23"/>
                </w:rPr>
                <w:t>中华人民共和国企业所得税法</w:t>
              </w:r>
            </w:hyperlink>
            <w:r w:rsidRPr="009A3EB3">
              <w:rPr>
                <w:rFonts w:ascii="微软雅黑" w:eastAsia="微软雅黑" w:hAnsi="微软雅黑" w:cs="宋体" w:hint="eastAsia"/>
                <w:kern w:val="0"/>
                <w:sz w:val="23"/>
                <w:szCs w:val="23"/>
              </w:rPr>
              <w:t>》及其</w:t>
            </w:r>
            <w:hyperlink r:id="rId7" w:history="1">
              <w:r w:rsidRPr="009A3EB3">
                <w:rPr>
                  <w:rFonts w:ascii="微软雅黑" w:eastAsia="微软雅黑" w:hAnsi="微软雅黑" w:cs="宋体" w:hint="eastAsia"/>
                  <w:color w:val="FF0000"/>
                  <w:kern w:val="0"/>
                  <w:sz w:val="23"/>
                </w:rPr>
                <w:t>实施条例</w:t>
              </w:r>
            </w:hyperlink>
            <w:r w:rsidRPr="009A3EB3">
              <w:rPr>
                <w:rFonts w:ascii="微软雅黑" w:eastAsia="微软雅黑" w:hAnsi="微软雅黑" w:cs="宋体" w:hint="eastAsia"/>
                <w:kern w:val="0"/>
                <w:sz w:val="23"/>
                <w:szCs w:val="23"/>
              </w:rPr>
              <w:t>、《</w:t>
            </w:r>
            <w:hyperlink r:id="rId8" w:history="1">
              <w:r w:rsidRPr="009A3EB3">
                <w:rPr>
                  <w:rFonts w:ascii="微软雅黑" w:eastAsia="微软雅黑" w:hAnsi="微软雅黑" w:cs="宋体" w:hint="eastAsia"/>
                  <w:color w:val="FF0000"/>
                  <w:kern w:val="0"/>
                  <w:sz w:val="23"/>
                </w:rPr>
                <w:t>财政部 税务总局关于实施小微企业普惠性税收减免政策的通知</w:t>
              </w:r>
            </w:hyperlink>
            <w:r w:rsidRPr="009A3EB3">
              <w:rPr>
                <w:rFonts w:ascii="微软雅黑" w:eastAsia="微软雅黑" w:hAnsi="微软雅黑" w:cs="宋体" w:hint="eastAsia"/>
                <w:kern w:val="0"/>
                <w:sz w:val="23"/>
                <w:szCs w:val="23"/>
              </w:rPr>
              <w:t>》（</w:t>
            </w:r>
            <w:hyperlink r:id="rId9" w:history="1">
              <w:r w:rsidRPr="009A3EB3">
                <w:rPr>
                  <w:rFonts w:ascii="微软雅黑" w:eastAsia="微软雅黑" w:hAnsi="微软雅黑" w:cs="宋体" w:hint="eastAsia"/>
                  <w:color w:val="0000FF"/>
                  <w:kern w:val="0"/>
                  <w:sz w:val="23"/>
                </w:rPr>
                <w:t>财税[2019]13号</w:t>
              </w:r>
            </w:hyperlink>
            <w:r w:rsidRPr="009A3EB3">
              <w:rPr>
                <w:rFonts w:ascii="微软雅黑" w:eastAsia="微软雅黑" w:hAnsi="微软雅黑" w:cs="宋体" w:hint="eastAsia"/>
                <w:kern w:val="0"/>
                <w:sz w:val="23"/>
                <w:szCs w:val="23"/>
              </w:rPr>
              <w:t>，以下简称《</w:t>
            </w:r>
            <w:hyperlink r:id="rId10" w:history="1">
              <w:r w:rsidRPr="009A3EB3">
                <w:rPr>
                  <w:rFonts w:ascii="微软雅黑" w:eastAsia="微软雅黑" w:hAnsi="微软雅黑" w:cs="宋体" w:hint="eastAsia"/>
                  <w:color w:val="FF0000"/>
                  <w:kern w:val="0"/>
                  <w:sz w:val="23"/>
                </w:rPr>
                <w:t>通知</w:t>
              </w:r>
            </w:hyperlink>
            <w:r w:rsidRPr="009A3EB3">
              <w:rPr>
                <w:rFonts w:ascii="微软雅黑" w:eastAsia="微软雅黑" w:hAnsi="微软雅黑" w:cs="宋体" w:hint="eastAsia"/>
                <w:kern w:val="0"/>
                <w:sz w:val="23"/>
                <w:szCs w:val="23"/>
              </w:rPr>
              <w:t>》）等规定，现就小型微利企业普惠性所得税减免政策有关问题公告如下：</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一、自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小型微利企业无论按查账征收方式或核定征收方式缴纳企业所得税，均可享受上述优惠政策。</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二、本公告所称小型微利企业是指从事国家非限制和禁止行业，且同时符合年度应纳税所得额不超过300万元、从业人数不超过300人、资产总额不超过5000万元等三个条件的企业。</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三、小型微利企业所得税统一实行按季度预缴。</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预缴企业所得税时，小型微利企业的资产总额、从业人数、年度应纳税所得额指标，暂按当年度截至本期申报所属期末的情况进行判断。其中，资产总额、从业人数指标比照《</w:t>
            </w:r>
            <w:hyperlink r:id="rId11" w:history="1">
              <w:r w:rsidRPr="009A3EB3">
                <w:rPr>
                  <w:rFonts w:ascii="微软雅黑" w:eastAsia="微软雅黑" w:hAnsi="微软雅黑" w:cs="宋体" w:hint="eastAsia"/>
                  <w:color w:val="FF0000"/>
                  <w:kern w:val="0"/>
                  <w:sz w:val="23"/>
                </w:rPr>
                <w:t>通知</w:t>
              </w:r>
            </w:hyperlink>
            <w:r w:rsidRPr="009A3EB3">
              <w:rPr>
                <w:rFonts w:ascii="微软雅黑" w:eastAsia="微软雅黑" w:hAnsi="微软雅黑" w:cs="宋体" w:hint="eastAsia"/>
                <w:kern w:val="0"/>
                <w:sz w:val="23"/>
                <w:szCs w:val="23"/>
              </w:rPr>
              <w:t>》第二条中“全年季度平均值”的计算公式，计算截至本期申</w:t>
            </w:r>
            <w:r w:rsidRPr="009A3EB3">
              <w:rPr>
                <w:rFonts w:ascii="微软雅黑" w:eastAsia="微软雅黑" w:hAnsi="微软雅黑" w:cs="宋体" w:hint="eastAsia"/>
                <w:kern w:val="0"/>
                <w:sz w:val="23"/>
                <w:szCs w:val="23"/>
              </w:rPr>
              <w:lastRenderedPageBreak/>
              <w:t>报所属期末的季度平均值；年度应纳税所得</w:t>
            </w:r>
            <w:proofErr w:type="gramStart"/>
            <w:r w:rsidRPr="009A3EB3">
              <w:rPr>
                <w:rFonts w:ascii="微软雅黑" w:eastAsia="微软雅黑" w:hAnsi="微软雅黑" w:cs="宋体" w:hint="eastAsia"/>
                <w:kern w:val="0"/>
                <w:sz w:val="23"/>
                <w:szCs w:val="23"/>
              </w:rPr>
              <w:t>额指标</w:t>
            </w:r>
            <w:proofErr w:type="gramEnd"/>
            <w:r w:rsidRPr="009A3EB3">
              <w:rPr>
                <w:rFonts w:ascii="微软雅黑" w:eastAsia="微软雅黑" w:hAnsi="微软雅黑" w:cs="宋体" w:hint="eastAsia"/>
                <w:kern w:val="0"/>
                <w:sz w:val="23"/>
                <w:szCs w:val="23"/>
              </w:rPr>
              <w:t>暂按截至本期申报所属</w:t>
            </w:r>
            <w:proofErr w:type="gramStart"/>
            <w:r w:rsidRPr="009A3EB3">
              <w:rPr>
                <w:rFonts w:ascii="微软雅黑" w:eastAsia="微软雅黑" w:hAnsi="微软雅黑" w:cs="宋体" w:hint="eastAsia"/>
                <w:kern w:val="0"/>
                <w:sz w:val="23"/>
                <w:szCs w:val="23"/>
              </w:rPr>
              <w:t>期末不</w:t>
            </w:r>
            <w:proofErr w:type="gramEnd"/>
            <w:r w:rsidRPr="009A3EB3">
              <w:rPr>
                <w:rFonts w:ascii="微软雅黑" w:eastAsia="微软雅黑" w:hAnsi="微软雅黑" w:cs="宋体" w:hint="eastAsia"/>
                <w:kern w:val="0"/>
                <w:sz w:val="23"/>
                <w:szCs w:val="23"/>
              </w:rPr>
              <w:t>超过300万元的标准判断。</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四、原不符合小型微利企业条件的企业，在年度中间预缴企业所得税时，按本公告第三条规定判断符合小型微利企业条件的，应按照截至本期申报所属期末累计情况计算享受小型微利企业所得税减免政策。当年度此前期间因不符合小型微利企业条件而多预缴的企业所得税税款，可在以后季度应预缴的企业所得税税款中抵减。</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按月度预缴企业所得税的企业，在当年度4月、7月、10月预缴申报时，如果按照本公告第三条规定判断符合小型微利企业条件的，下一个预缴申报期起调整为按季度预缴申报，一经调整，当年度内不再变更。</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五、小型微利企业在预缴和汇算清缴企业所得税时，通过填写纳税申报</w:t>
            </w:r>
            <w:proofErr w:type="gramStart"/>
            <w:r w:rsidRPr="009A3EB3">
              <w:rPr>
                <w:rFonts w:ascii="微软雅黑" w:eastAsia="微软雅黑" w:hAnsi="微软雅黑" w:cs="宋体" w:hint="eastAsia"/>
                <w:kern w:val="0"/>
                <w:sz w:val="23"/>
                <w:szCs w:val="23"/>
              </w:rPr>
              <w:t>表相关</w:t>
            </w:r>
            <w:proofErr w:type="gramEnd"/>
            <w:r w:rsidRPr="009A3EB3">
              <w:rPr>
                <w:rFonts w:ascii="微软雅黑" w:eastAsia="微软雅黑" w:hAnsi="微软雅黑" w:cs="宋体" w:hint="eastAsia"/>
                <w:kern w:val="0"/>
                <w:sz w:val="23"/>
                <w:szCs w:val="23"/>
              </w:rPr>
              <w:t>内容，即可享受小型微利企业所得税减免政策。</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六、实行核定应纳所得税额征收的企业，根据小型微利企业所得税减免政策规定需要调减定额的，由主管税务机关按照程序调整，并及时将调整情况告知企业。</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七、企业预缴企业所得税时已享受小型微利企业所得税减免政策，汇算清缴企业所得税时不符合《</w:t>
            </w:r>
            <w:hyperlink r:id="rId12" w:history="1">
              <w:r w:rsidRPr="009A3EB3">
                <w:rPr>
                  <w:rFonts w:ascii="微软雅黑" w:eastAsia="微软雅黑" w:hAnsi="微软雅黑" w:cs="宋体" w:hint="eastAsia"/>
                  <w:color w:val="FF0000"/>
                  <w:kern w:val="0"/>
                  <w:sz w:val="23"/>
                </w:rPr>
                <w:t>通知</w:t>
              </w:r>
            </w:hyperlink>
            <w:r w:rsidRPr="009A3EB3">
              <w:rPr>
                <w:rFonts w:ascii="微软雅黑" w:eastAsia="微软雅黑" w:hAnsi="微软雅黑" w:cs="宋体" w:hint="eastAsia"/>
                <w:kern w:val="0"/>
                <w:sz w:val="23"/>
                <w:szCs w:val="23"/>
              </w:rPr>
              <w:t>》第二条规定的，应当按照规定补缴企业所得税税款。</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八、《</w:t>
            </w:r>
            <w:hyperlink r:id="rId13" w:history="1">
              <w:r w:rsidRPr="009A3EB3">
                <w:rPr>
                  <w:rFonts w:ascii="微软雅黑" w:eastAsia="微软雅黑" w:hAnsi="微软雅黑" w:cs="宋体" w:hint="eastAsia"/>
                  <w:color w:val="FF0000"/>
                  <w:kern w:val="0"/>
                  <w:sz w:val="23"/>
                </w:rPr>
                <w:t>国家税务总局关于贯彻落实进一步扩大小型微利企业所得税优惠政策范围有关征管问题的公告</w:t>
              </w:r>
            </w:hyperlink>
            <w:r w:rsidRPr="009A3EB3">
              <w:rPr>
                <w:rFonts w:ascii="微软雅黑" w:eastAsia="微软雅黑" w:hAnsi="微软雅黑" w:cs="宋体" w:hint="eastAsia"/>
                <w:kern w:val="0"/>
                <w:sz w:val="23"/>
                <w:szCs w:val="23"/>
              </w:rPr>
              <w:t>》（</w:t>
            </w:r>
            <w:hyperlink r:id="rId14" w:history="1">
              <w:r w:rsidRPr="009A3EB3">
                <w:rPr>
                  <w:rFonts w:ascii="微软雅黑" w:eastAsia="微软雅黑" w:hAnsi="微软雅黑" w:cs="宋体" w:hint="eastAsia"/>
                  <w:color w:val="0000FF"/>
                  <w:kern w:val="0"/>
                  <w:sz w:val="23"/>
                </w:rPr>
                <w:t>国家税务总局公告2018年第40号</w:t>
              </w:r>
            </w:hyperlink>
            <w:r w:rsidRPr="009A3EB3">
              <w:rPr>
                <w:rFonts w:ascii="微软雅黑" w:eastAsia="微软雅黑" w:hAnsi="微软雅黑" w:cs="宋体" w:hint="eastAsia"/>
                <w:kern w:val="0"/>
                <w:sz w:val="23"/>
                <w:szCs w:val="23"/>
              </w:rPr>
              <w:t>）在2018年度企业所得税汇算清缴结束后废止。</w:t>
            </w:r>
          </w:p>
          <w:p w:rsidR="009A3EB3" w:rsidRPr="009A3EB3" w:rsidRDefault="009A3EB3" w:rsidP="006B33BA">
            <w:pPr>
              <w:widowControl/>
              <w:wordWrap w:val="0"/>
              <w:spacing w:after="225"/>
              <w:jc w:val="lef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t xml:space="preserve">　　特此公告。</w:t>
            </w:r>
          </w:p>
          <w:p w:rsidR="009A3EB3" w:rsidRPr="009A3EB3" w:rsidRDefault="009A3EB3" w:rsidP="006B33BA">
            <w:pPr>
              <w:widowControl/>
              <w:wordWrap w:val="0"/>
              <w:spacing w:after="225"/>
              <w:jc w:val="right"/>
              <w:rPr>
                <w:rFonts w:ascii="微软雅黑" w:eastAsia="微软雅黑" w:hAnsi="微软雅黑" w:cs="宋体" w:hint="eastAsia"/>
                <w:kern w:val="0"/>
                <w:sz w:val="23"/>
                <w:szCs w:val="23"/>
              </w:rPr>
            </w:pPr>
            <w:r w:rsidRPr="009A3EB3">
              <w:rPr>
                <w:rFonts w:ascii="微软雅黑" w:eastAsia="微软雅黑" w:hAnsi="微软雅黑" w:cs="宋体" w:hint="eastAsia"/>
                <w:kern w:val="0"/>
                <w:sz w:val="23"/>
                <w:szCs w:val="23"/>
              </w:rPr>
              <w:lastRenderedPageBreak/>
              <w:t>国家税务总局</w:t>
            </w:r>
          </w:p>
          <w:p w:rsidR="009A3EB3" w:rsidRPr="009A3EB3" w:rsidRDefault="009A3EB3" w:rsidP="006B33BA">
            <w:pPr>
              <w:widowControl/>
              <w:wordWrap w:val="0"/>
              <w:spacing w:after="225"/>
              <w:jc w:val="right"/>
              <w:rPr>
                <w:rFonts w:ascii="微软雅黑" w:eastAsia="微软雅黑" w:hAnsi="微软雅黑" w:cs="宋体"/>
                <w:kern w:val="0"/>
                <w:sz w:val="23"/>
                <w:szCs w:val="23"/>
              </w:rPr>
            </w:pPr>
            <w:r w:rsidRPr="009A3EB3">
              <w:rPr>
                <w:rFonts w:ascii="微软雅黑" w:eastAsia="微软雅黑" w:hAnsi="微软雅黑" w:cs="宋体" w:hint="eastAsia"/>
                <w:kern w:val="0"/>
                <w:sz w:val="23"/>
                <w:szCs w:val="23"/>
              </w:rPr>
              <w:t>2019年1月18日</w:t>
            </w:r>
          </w:p>
        </w:tc>
      </w:tr>
    </w:tbl>
    <w:p w:rsidR="00000000" w:rsidRDefault="006B33BA"/>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EB3" w:rsidRDefault="009A3EB3" w:rsidP="009A3EB3">
      <w:r>
        <w:separator/>
      </w:r>
    </w:p>
  </w:endnote>
  <w:endnote w:type="continuationSeparator" w:id="1">
    <w:p w:rsidR="009A3EB3" w:rsidRDefault="009A3EB3" w:rsidP="009A3E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EB3" w:rsidRDefault="009A3EB3" w:rsidP="009A3EB3">
      <w:r>
        <w:separator/>
      </w:r>
    </w:p>
  </w:footnote>
  <w:footnote w:type="continuationSeparator" w:id="1">
    <w:p w:rsidR="009A3EB3" w:rsidRDefault="009A3EB3" w:rsidP="009A3E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EB3"/>
    <w:rsid w:val="006B33BA"/>
    <w:rsid w:val="009A3E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A3E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3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3EB3"/>
    <w:rPr>
      <w:sz w:val="18"/>
      <w:szCs w:val="18"/>
    </w:rPr>
  </w:style>
  <w:style w:type="paragraph" w:styleId="a4">
    <w:name w:val="footer"/>
    <w:basedOn w:val="a"/>
    <w:link w:val="Char0"/>
    <w:uiPriority w:val="99"/>
    <w:semiHidden/>
    <w:unhideWhenUsed/>
    <w:rsid w:val="009A3E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3EB3"/>
    <w:rPr>
      <w:sz w:val="18"/>
      <w:szCs w:val="18"/>
    </w:rPr>
  </w:style>
  <w:style w:type="character" w:customStyle="1" w:styleId="1Char">
    <w:name w:val="标题 1 Char"/>
    <w:basedOn w:val="a0"/>
    <w:link w:val="1"/>
    <w:uiPriority w:val="9"/>
    <w:rsid w:val="009A3EB3"/>
    <w:rPr>
      <w:rFonts w:ascii="宋体" w:eastAsia="宋体" w:hAnsi="宋体" w:cs="宋体"/>
      <w:b/>
      <w:bCs/>
      <w:kern w:val="36"/>
      <w:sz w:val="48"/>
      <w:szCs w:val="48"/>
    </w:rPr>
  </w:style>
  <w:style w:type="character" w:styleId="a5">
    <w:name w:val="Hyperlink"/>
    <w:basedOn w:val="a0"/>
    <w:uiPriority w:val="99"/>
    <w:semiHidden/>
    <w:unhideWhenUsed/>
    <w:rsid w:val="009A3EB3"/>
    <w:rPr>
      <w:color w:val="0000FF"/>
      <w:u w:val="single"/>
    </w:rPr>
  </w:style>
  <w:style w:type="paragraph" w:styleId="z-">
    <w:name w:val="HTML Top of Form"/>
    <w:basedOn w:val="a"/>
    <w:next w:val="a"/>
    <w:link w:val="z-Char"/>
    <w:hidden/>
    <w:uiPriority w:val="99"/>
    <w:semiHidden/>
    <w:unhideWhenUsed/>
    <w:rsid w:val="009A3EB3"/>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A3EB3"/>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A3EB3"/>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A3EB3"/>
    <w:rPr>
      <w:rFonts w:ascii="Arial" w:eastAsia="宋体" w:hAnsi="Arial" w:cs="Arial"/>
      <w:vanish/>
      <w:kern w:val="0"/>
      <w:sz w:val="16"/>
      <w:szCs w:val="16"/>
    </w:rPr>
  </w:style>
  <w:style w:type="paragraph" w:styleId="a6">
    <w:name w:val="Normal (Web)"/>
    <w:basedOn w:val="a"/>
    <w:uiPriority w:val="99"/>
    <w:unhideWhenUsed/>
    <w:rsid w:val="009A3E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0740213">
      <w:bodyDiv w:val="1"/>
      <w:marLeft w:val="0"/>
      <w:marRight w:val="0"/>
      <w:marTop w:val="0"/>
      <w:marBottom w:val="0"/>
      <w:divBdr>
        <w:top w:val="none" w:sz="0" w:space="0" w:color="auto"/>
        <w:left w:val="none" w:sz="0" w:space="0" w:color="auto"/>
        <w:bottom w:val="none" w:sz="0" w:space="0" w:color="auto"/>
        <w:right w:val="none" w:sz="0" w:space="0" w:color="auto"/>
      </w:divBdr>
      <w:divsChild>
        <w:div w:id="2013026226">
          <w:marLeft w:val="0"/>
          <w:marRight w:val="0"/>
          <w:marTop w:val="300"/>
          <w:marBottom w:val="0"/>
          <w:divBdr>
            <w:top w:val="none" w:sz="0" w:space="0" w:color="auto"/>
            <w:left w:val="none" w:sz="0" w:space="0" w:color="auto"/>
            <w:bottom w:val="none" w:sz="0" w:space="0" w:color="auto"/>
            <w:right w:val="none" w:sz="0" w:space="0" w:color="auto"/>
          </w:divBdr>
        </w:div>
        <w:div w:id="1987081392">
          <w:marLeft w:val="0"/>
          <w:marRight w:val="0"/>
          <w:marTop w:val="210"/>
          <w:marBottom w:val="300"/>
          <w:divBdr>
            <w:top w:val="none" w:sz="0" w:space="0" w:color="auto"/>
            <w:left w:val="none" w:sz="0" w:space="0" w:color="auto"/>
            <w:bottom w:val="none" w:sz="0" w:space="0" w:color="auto"/>
            <w:right w:val="none" w:sz="0" w:space="0" w:color="auto"/>
          </w:divBdr>
        </w:div>
        <w:div w:id="532957340">
          <w:marLeft w:val="0"/>
          <w:marRight w:val="0"/>
          <w:marTop w:val="0"/>
          <w:marBottom w:val="0"/>
          <w:divBdr>
            <w:top w:val="dotted" w:sz="6" w:space="4" w:color="CCCCCC"/>
            <w:left w:val="dotted" w:sz="6" w:space="4" w:color="CCCCCC"/>
            <w:bottom w:val="dotted" w:sz="6" w:space="4" w:color="CCCCCC"/>
            <w:right w:val="dotted" w:sz="6" w:space="4"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ui5.cn/article/dc/125403.html" TargetMode="External"/><Relationship Id="rId13" Type="http://schemas.openxmlformats.org/officeDocument/2006/relationships/hyperlink" Target="https://www.shui5.cn/article/24/122356.html" TargetMode="External"/><Relationship Id="rId3" Type="http://schemas.openxmlformats.org/officeDocument/2006/relationships/webSettings" Target="webSettings.xml"/><Relationship Id="rId7" Type="http://schemas.openxmlformats.org/officeDocument/2006/relationships/hyperlink" Target="https://www.shui5.cn/article/78/40675.html" TargetMode="External"/><Relationship Id="rId12" Type="http://schemas.openxmlformats.org/officeDocument/2006/relationships/hyperlink" Target="https://www.shui5.cn/article/dc/125403.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hui5.cn/article/ff/125031.html" TargetMode="External"/><Relationship Id="rId11" Type="http://schemas.openxmlformats.org/officeDocument/2006/relationships/hyperlink" Target="https://www.shui5.cn/article/dc/125403.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shui5.cn/article/dc/125403.html" TargetMode="External"/><Relationship Id="rId4" Type="http://schemas.openxmlformats.org/officeDocument/2006/relationships/footnotes" Target="footnotes.xml"/><Relationship Id="rId9" Type="http://schemas.openxmlformats.org/officeDocument/2006/relationships/hyperlink" Target="https://www.shui5.cn/article/dc/125403.html" TargetMode="External"/><Relationship Id="rId14" Type="http://schemas.openxmlformats.org/officeDocument/2006/relationships/hyperlink" Target="https://www.shui5.cn/article/24/12235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2020-12-21T07:45:00Z</dcterms:created>
  <dcterms:modified xsi:type="dcterms:W3CDTF">2020-12-21T07:51:00Z</dcterms:modified>
</cp:coreProperties>
</file>